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4"/>
          <w:szCs w:val="44"/>
          <w:u w:val="single"/>
          <w:rtl w:val="0"/>
        </w:rPr>
        <w:t xml:space="preserve">AFTER READING - ADVERTISMENT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sz w:val="40"/>
          <w:szCs w:val="40"/>
          <w:rtl w:val="0"/>
        </w:rPr>
        <w:t xml:space="preserve">“A Sound of Thunder” by Ray Bradbury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2409825" cy="1504950"/>
            <wp:effectExtent b="0" l="0" r="0" t="0"/>
            <wp:docPr descr="Description: Image result for a sound of thunder butterfly" id="2" name="image1.jpg"/>
            <a:graphic>
              <a:graphicData uri="http://schemas.openxmlformats.org/drawingml/2006/picture">
                <pic:pic>
                  <pic:nvPicPr>
                    <pic:cNvPr descr="Description: Image result for a sound of thunder butterfl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 the first few lines of “A Sound of Thunder,” Eckles is reading an advertisement for Time Safari, Inc. However, this sign is not very creative or persuasive.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u w:val="single"/>
          <w:rtl w:val="0"/>
        </w:rPr>
        <w:t xml:space="preserve">Your task is to create a new poster for Time Safari, Inc., inviting hunters to venture across time to hunt prehistoric creatures.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You need to convince prospective clients that this adventure is worth the high price while still encouraging the need to responsibly follow every rule.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Your advertisement must include: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name of the company (Time Safari, Inc.)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 brief explanation of the service the company offers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 eye-catching picture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Other information about the company (from the story) that you deem important and necessary</w:t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With this poster, you should show: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Understanding of the story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92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Use of persuasive techniques to convince someone to become a client of Time Safari, Inc. 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</w:rPr>
      </w:pPr>
      <w:bookmarkStart w:colFirst="0" w:colLast="0" w:name="_heading=h.37229mg3dsb4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Markers, crayons, and colored pencils are available – do not turn in a final draft completed entirely in pencil!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/4A+gTbmmiPP96DG5/Fma1DUg==">CgMxLjAyDmguMzcyMjltZzNkc2I0OAByITEyd2g1QjluU2ZMU1pOTEpRV3pBdG1aRVIzdlNOV1dMTQ==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2016-12-16T18:13:00Z</dcterms:created>
  <dc:creator>Dell</dc:creator>
</cp:coreProperties>
</file>